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四川省哲社重点研究基地社会发展与社会风险控制研究中心</w:t>
      </w:r>
    </w:p>
    <w:p>
      <w:pPr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auto"/>
          <w:sz w:val="28"/>
          <w:szCs w:val="28"/>
          <w:lang w:eastAsia="zh-CN"/>
        </w:rPr>
        <w:t>中心</w:t>
      </w:r>
      <w:r>
        <w:rPr>
          <w:rFonts w:hint="eastAsia"/>
          <w:b/>
          <w:color w:val="auto"/>
          <w:sz w:val="28"/>
          <w:szCs w:val="28"/>
        </w:rPr>
        <w:t>项目管理办法（试行）</w:t>
      </w:r>
    </w:p>
    <w:p>
      <w:pPr>
        <w:spacing w:beforeLines="50" w:line="520" w:lineRule="exact"/>
        <w:rPr>
          <w:rFonts w:ascii="宋体" w:hAnsi="宋体" w:eastAsia="宋体"/>
          <w:color w:val="auto"/>
          <w:sz w:val="24"/>
        </w:rPr>
      </w:pPr>
      <w:r>
        <w:rPr>
          <w:color w:val="auto"/>
          <w:sz w:val="23"/>
          <w:szCs w:val="23"/>
        </w:rPr>
        <w:t xml:space="preserve">    </w:t>
      </w:r>
      <w:r>
        <w:rPr>
          <w:rFonts w:hint="eastAsia" w:ascii="宋体" w:hAnsi="宋体" w:eastAsia="宋体"/>
          <w:color w:val="auto"/>
          <w:sz w:val="24"/>
        </w:rPr>
        <w:t>根据《四川省哲学社会科学重点研究基地项目管理办法（试行）》，结合中心年度项目运行与管理的实际情况，制定本办法。</w:t>
      </w:r>
    </w:p>
    <w:p>
      <w:pPr>
        <w:spacing w:beforeLines="50" w:afterLines="50" w:line="520" w:lineRule="exact"/>
        <w:rPr>
          <w:rFonts w:ascii="宋体" w:hAnsi="宋体" w:eastAsia="宋体"/>
          <w:b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t xml:space="preserve">    </w:t>
      </w:r>
      <w:r>
        <w:rPr>
          <w:rFonts w:hint="eastAsia" w:ascii="宋体" w:hAnsi="宋体" w:eastAsia="宋体"/>
          <w:b/>
          <w:color w:val="auto"/>
          <w:sz w:val="24"/>
        </w:rPr>
        <w:t>一、项目研究进度与结项</w:t>
      </w:r>
    </w:p>
    <w:p>
      <w:pPr>
        <w:spacing w:line="520" w:lineRule="exact"/>
        <w:ind w:firstLine="480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/>
          <w:color w:val="auto"/>
          <w:sz w:val="24"/>
        </w:rPr>
        <w:t>、中心年度项目须在项目执行半年期（6个月）以内提交课题研究报告，接受中期检查。研究报告经中心组织专家鉴定为“合格”等次及以上的，按一般项目拨付立项经费的50%。</w:t>
      </w:r>
    </w:p>
    <w:p>
      <w:pPr>
        <w:spacing w:line="520" w:lineRule="exact"/>
        <w:ind w:firstLine="480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/>
          <w:color w:val="auto"/>
          <w:sz w:val="24"/>
        </w:rPr>
        <w:t>、申请结项时，除提交研究报告外，还须满足下列条件之一：</w:t>
      </w:r>
    </w:p>
    <w:p>
      <w:pPr>
        <w:spacing w:line="520" w:lineRule="exact"/>
        <w:ind w:firstLine="48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①研究成果被省级及省级以上领导批示；</w:t>
      </w:r>
    </w:p>
    <w:p>
      <w:pPr>
        <w:spacing w:line="520" w:lineRule="exact"/>
        <w:ind w:firstLine="48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②研究成果被省级及省级以上政府部门采纳，须提供具体的采纳意见，并加盖部门公章；</w:t>
      </w:r>
    </w:p>
    <w:p>
      <w:pPr>
        <w:spacing w:line="520" w:lineRule="exact"/>
        <w:ind w:firstLine="480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fldChar w:fldCharType="begin"/>
      </w:r>
      <w:r>
        <w:rPr>
          <w:rFonts w:ascii="宋体" w:hAnsi="宋体" w:eastAsia="宋体"/>
          <w:color w:val="auto"/>
          <w:sz w:val="24"/>
        </w:rPr>
        <w:instrText xml:space="preserve"> = 3 \* GB3 </w:instrText>
      </w:r>
      <w:r>
        <w:rPr>
          <w:rFonts w:ascii="宋体" w:hAnsi="宋体" w:eastAsia="宋体"/>
          <w:color w:val="auto"/>
          <w:sz w:val="24"/>
        </w:rPr>
        <w:fldChar w:fldCharType="separate"/>
      </w:r>
      <w:r>
        <w:rPr>
          <w:rFonts w:hint="eastAsia" w:ascii="宋体" w:hAnsi="宋体" w:eastAsia="宋体"/>
          <w:color w:val="auto"/>
          <w:sz w:val="24"/>
        </w:rPr>
        <w:t>③</w:t>
      </w:r>
      <w:r>
        <w:rPr>
          <w:rFonts w:ascii="宋体" w:hAnsi="宋体" w:eastAsia="宋体"/>
          <w:color w:val="auto"/>
          <w:sz w:val="24"/>
        </w:rPr>
        <w:fldChar w:fldCharType="end"/>
      </w:r>
      <w:r>
        <w:rPr>
          <w:rFonts w:hint="eastAsia" w:ascii="宋体" w:hAnsi="宋体" w:eastAsia="宋体"/>
          <w:color w:val="auto"/>
          <w:sz w:val="24"/>
        </w:rPr>
        <w:t>研究成果被省社科联《重要成果专报》刊用；</w:t>
      </w:r>
    </w:p>
    <w:p>
      <w:pPr>
        <w:spacing w:line="520" w:lineRule="exact"/>
        <w:ind w:firstLine="480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fldChar w:fldCharType="begin"/>
      </w:r>
      <w:r>
        <w:rPr>
          <w:rFonts w:ascii="宋体" w:hAnsi="宋体" w:eastAsia="宋体"/>
          <w:color w:val="auto"/>
          <w:sz w:val="24"/>
        </w:rPr>
        <w:instrText xml:space="preserve"> = 4 \* GB3 </w:instrText>
      </w:r>
      <w:r>
        <w:rPr>
          <w:rFonts w:ascii="宋体" w:hAnsi="宋体" w:eastAsia="宋体"/>
          <w:color w:val="auto"/>
          <w:sz w:val="24"/>
        </w:rPr>
        <w:fldChar w:fldCharType="separate"/>
      </w:r>
      <w:r>
        <w:rPr>
          <w:rFonts w:hint="eastAsia" w:ascii="宋体" w:hAnsi="宋体" w:eastAsia="宋体"/>
          <w:color w:val="auto"/>
          <w:sz w:val="24"/>
        </w:rPr>
        <w:t>④</w:t>
      </w:r>
      <w:r>
        <w:rPr>
          <w:rFonts w:ascii="宋体" w:hAnsi="宋体" w:eastAsia="宋体"/>
          <w:color w:val="auto"/>
          <w:sz w:val="24"/>
        </w:rPr>
        <w:fldChar w:fldCharType="end"/>
      </w:r>
      <w:r>
        <w:rPr>
          <w:rFonts w:hint="eastAsia" w:ascii="宋体" w:hAnsi="宋体" w:eastAsia="宋体"/>
          <w:color w:val="auto"/>
          <w:sz w:val="24"/>
        </w:rPr>
        <w:t>研究成果在</w:t>
      </w:r>
      <w:r>
        <w:rPr>
          <w:rFonts w:ascii="宋体" w:hAnsi="宋体" w:eastAsia="宋体"/>
          <w:color w:val="auto"/>
          <w:sz w:val="24"/>
        </w:rPr>
        <w:t>CSSCI</w:t>
      </w:r>
      <w:r>
        <w:rPr>
          <w:rFonts w:hint="eastAsia" w:ascii="宋体" w:hAnsi="宋体" w:eastAsia="宋体"/>
          <w:color w:val="auto"/>
          <w:sz w:val="24"/>
        </w:rPr>
        <w:t>类学术期刊发表学术论文不少于</w:t>
      </w:r>
      <w:r>
        <w:rPr>
          <w:rFonts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/>
          <w:color w:val="auto"/>
          <w:sz w:val="24"/>
        </w:rPr>
        <w:t>篇；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fldChar w:fldCharType="begin"/>
      </w:r>
      <w:r>
        <w:rPr>
          <w:rFonts w:ascii="宋体" w:hAnsi="宋体" w:eastAsia="宋体"/>
          <w:color w:val="auto"/>
          <w:sz w:val="24"/>
        </w:rPr>
        <w:instrText xml:space="preserve"> = 5 \* GB3 </w:instrText>
      </w:r>
      <w:r>
        <w:rPr>
          <w:rFonts w:ascii="宋体" w:hAnsi="宋体" w:eastAsia="宋体"/>
          <w:color w:val="auto"/>
          <w:sz w:val="24"/>
        </w:rPr>
        <w:fldChar w:fldCharType="separate"/>
      </w:r>
      <w:r>
        <w:rPr>
          <w:rFonts w:hint="eastAsia" w:ascii="宋体" w:hAnsi="宋体" w:eastAsia="宋体"/>
          <w:color w:val="auto"/>
          <w:sz w:val="24"/>
        </w:rPr>
        <w:t>⑤</w:t>
      </w:r>
      <w:r>
        <w:rPr>
          <w:rFonts w:ascii="宋体" w:hAnsi="宋体" w:eastAsia="宋体"/>
          <w:color w:val="auto"/>
          <w:sz w:val="24"/>
        </w:rPr>
        <w:fldChar w:fldCharType="end"/>
      </w:r>
      <w:r>
        <w:rPr>
          <w:rFonts w:hint="eastAsia" w:ascii="宋体" w:hAnsi="宋体" w:eastAsia="宋体"/>
          <w:color w:val="auto"/>
          <w:sz w:val="24"/>
        </w:rPr>
        <w:t>研究成果被国家社科规划办《成果要报》或教育部《大学智库专刊》采纳。</w:t>
      </w:r>
      <w:r>
        <w:rPr>
          <w:rFonts w:ascii="宋体" w:hAnsi="宋体" w:eastAsia="宋体"/>
          <w:color w:val="auto"/>
          <w:sz w:val="24"/>
        </w:rPr>
        <w:t xml:space="preserve"> </w:t>
      </w:r>
    </w:p>
    <w:p>
      <w:pPr>
        <w:spacing w:beforeLines="50" w:afterLines="50" w:line="520" w:lineRule="exact"/>
        <w:ind w:firstLine="482" w:firstLineChars="200"/>
        <w:rPr>
          <w:rFonts w:ascii="宋体" w:hAnsi="宋体" w:eastAsia="宋体"/>
          <w:b/>
          <w:color w:val="auto"/>
          <w:sz w:val="24"/>
        </w:rPr>
      </w:pPr>
      <w:r>
        <w:rPr>
          <w:rFonts w:hint="eastAsia" w:ascii="宋体" w:hAnsi="宋体" w:eastAsia="宋体"/>
          <w:b/>
          <w:color w:val="auto"/>
          <w:sz w:val="24"/>
        </w:rPr>
        <w:t>二、项目终止与撤项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1、中心年度项目未通过中期检查的，予以撤项。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2、中心年度项目通过中期检查，但在两年期内未达到结项要求的，予以终止，剩余经费不予拨付。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3、中心年度项目通过中期检查，但结项时提交的研究成果存在严重学术不端的，予以撤项，追回已拨经费，剩余经费不予拨付。</w:t>
      </w:r>
    </w:p>
    <w:p>
      <w:pPr>
        <w:spacing w:beforeLines="50" w:afterLines="50" w:line="520" w:lineRule="exact"/>
        <w:ind w:firstLine="482" w:firstLineChars="200"/>
        <w:rPr>
          <w:rFonts w:ascii="宋体" w:hAnsi="宋体" w:eastAsia="宋体"/>
          <w:b/>
          <w:color w:val="auto"/>
          <w:sz w:val="24"/>
        </w:rPr>
      </w:pPr>
      <w:r>
        <w:rPr>
          <w:rFonts w:hint="eastAsia" w:ascii="宋体" w:hAnsi="宋体" w:eastAsia="宋体"/>
          <w:b/>
          <w:color w:val="auto"/>
          <w:sz w:val="24"/>
        </w:rPr>
        <w:t>三、项目立项经费拨付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/>
          <w:color w:val="auto"/>
          <w:sz w:val="24"/>
        </w:rPr>
        <w:t>、基地年度项目分一般项目、重点项目和后期资助项目。一般项目和后期资助项目的资助额度为1万元，重点项目的资助额度为2万元。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/>
          <w:color w:val="auto"/>
          <w:sz w:val="24"/>
        </w:rPr>
        <w:t>、中心年度项目中期检查时，提交课题研究报告，报告鉴定为“合格”等级及以上的，按一般项目立项经费的</w:t>
      </w:r>
      <w:r>
        <w:rPr>
          <w:rFonts w:ascii="宋体" w:hAnsi="宋体" w:eastAsia="宋体"/>
          <w:color w:val="auto"/>
          <w:sz w:val="24"/>
        </w:rPr>
        <w:t>50%</w:t>
      </w:r>
      <w:r>
        <w:rPr>
          <w:rFonts w:hint="eastAsia" w:ascii="宋体" w:hAnsi="宋体" w:eastAsia="宋体"/>
          <w:color w:val="auto"/>
          <w:sz w:val="24"/>
        </w:rPr>
        <w:t>予以拨款。项目结项后，拨付剩余经费。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3、中心年度项目结项鉴定为“优秀”等级的，作为重点项目予以资助。</w:t>
      </w:r>
    </w:p>
    <w:p>
      <w:pPr>
        <w:spacing w:beforeLines="50" w:afterLines="50" w:line="520" w:lineRule="exact"/>
        <w:ind w:firstLine="482" w:firstLineChars="200"/>
        <w:rPr>
          <w:rFonts w:ascii="宋体" w:hAnsi="宋体" w:eastAsia="宋体"/>
          <w:b/>
          <w:color w:val="auto"/>
          <w:sz w:val="24"/>
        </w:rPr>
      </w:pPr>
      <w:r>
        <w:rPr>
          <w:rFonts w:hint="eastAsia" w:ascii="宋体" w:hAnsi="宋体" w:eastAsia="宋体"/>
          <w:b/>
          <w:color w:val="auto"/>
          <w:sz w:val="24"/>
        </w:rPr>
        <w:t>四、项目结项鉴定为“优秀”等级的条件</w:t>
      </w:r>
    </w:p>
    <w:p>
      <w:pPr>
        <w:spacing w:line="520" w:lineRule="exact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t xml:space="preserve">    </w:t>
      </w:r>
      <w:r>
        <w:rPr>
          <w:rFonts w:hint="eastAsia" w:ascii="宋体" w:hAnsi="宋体" w:eastAsia="宋体"/>
          <w:color w:val="auto"/>
          <w:sz w:val="24"/>
        </w:rPr>
        <w:t>中心项目研究成果满足下列条件之一的，项目结项时可鉴定为“优秀”等级：</w:t>
      </w:r>
    </w:p>
    <w:p>
      <w:pPr>
        <w:spacing w:line="520" w:lineRule="exact"/>
        <w:ind w:left="46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1、研究成果得到国家领导人批示或被国家部委采纳的；</w:t>
      </w:r>
    </w:p>
    <w:p>
      <w:pPr>
        <w:spacing w:line="520" w:lineRule="exact"/>
        <w:ind w:left="46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2、研究成果得到省委、省政府主要领导批示的；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3、研究成果被国家社科规划办《成果要报》采纳的；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4、研究成果被教育部《大学智库专刊》采纳的；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5、在权威学术期刊上发表学术论文的（权威期刊的认定以《四川大学期刊分等定级》为准）；</w:t>
      </w:r>
    </w:p>
    <w:p>
      <w:pPr>
        <w:spacing w:line="52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6、研究成果经专家鉴定为“优秀”等级的其他情形。</w:t>
      </w:r>
    </w:p>
    <w:p>
      <w:pPr>
        <w:tabs>
          <w:tab w:val="left" w:pos="142"/>
        </w:tabs>
        <w:spacing w:line="520" w:lineRule="exact"/>
        <w:ind w:left="23" w:leftChars="-270" w:hanging="590" w:hangingChars="246"/>
        <w:rPr>
          <w:rFonts w:ascii="宋体" w:hAnsi="宋体" w:eastAsia="宋体"/>
          <w:b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 xml:space="preserve">    </w:t>
      </w:r>
      <w:r>
        <w:rPr>
          <w:rFonts w:hint="eastAsia" w:ascii="宋体" w:hAnsi="宋体" w:eastAsia="宋体"/>
          <w:b/>
          <w:color w:val="auto"/>
          <w:sz w:val="24"/>
        </w:rPr>
        <w:t xml:space="preserve">   五、本办法由本中心负责解释。</w:t>
      </w:r>
    </w:p>
    <w:p>
      <w:pPr>
        <w:spacing w:line="520" w:lineRule="exact"/>
        <w:rPr>
          <w:rFonts w:ascii="宋体" w:hAnsi="宋体" w:eastAsia="宋体"/>
          <w:color w:val="auto"/>
          <w:sz w:val="24"/>
        </w:rPr>
      </w:pPr>
      <w:r>
        <w:rPr>
          <w:rFonts w:ascii="宋体" w:hAnsi="宋体" w:eastAsia="宋体"/>
          <w:color w:val="auto"/>
          <w:sz w:val="24"/>
        </w:rPr>
        <w:t xml:space="preserve">                                              </w:t>
      </w:r>
      <w:r>
        <w:rPr>
          <w:rFonts w:hint="eastAsia" w:ascii="宋体" w:hAnsi="宋体" w:eastAsia="宋体"/>
          <w:color w:val="auto"/>
          <w:sz w:val="24"/>
        </w:rPr>
        <w:t xml:space="preserve">      </w:t>
      </w:r>
    </w:p>
    <w:p>
      <w:pPr>
        <w:spacing w:line="520" w:lineRule="exact"/>
        <w:rPr>
          <w:rFonts w:ascii="宋体" w:hAnsi="宋体" w:eastAsia="宋体"/>
          <w:color w:val="auto"/>
          <w:sz w:val="24"/>
        </w:rPr>
      </w:pPr>
    </w:p>
    <w:p>
      <w:pPr>
        <w:spacing w:line="520" w:lineRule="exact"/>
        <w:rPr>
          <w:rFonts w:ascii="宋体" w:hAnsi="宋体" w:eastAsia="宋体"/>
          <w:color w:val="auto"/>
          <w:sz w:val="24"/>
        </w:rPr>
      </w:pPr>
    </w:p>
    <w:p>
      <w:pPr>
        <w:spacing w:line="520" w:lineRule="exact"/>
        <w:rPr>
          <w:rFonts w:ascii="宋体" w:hAnsi="宋体" w:eastAsia="宋体"/>
          <w:b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 xml:space="preserve">                                                </w:t>
      </w:r>
      <w:r>
        <w:rPr>
          <w:rFonts w:hint="eastAsia" w:ascii="宋体" w:hAnsi="宋体" w:eastAsia="宋体"/>
          <w:b/>
          <w:color w:val="auto"/>
          <w:sz w:val="24"/>
        </w:rPr>
        <w:t>四川省哲学社会科学重点研究基地</w:t>
      </w:r>
    </w:p>
    <w:p>
      <w:pPr>
        <w:spacing w:line="520" w:lineRule="exact"/>
        <w:ind w:firstLine="5783" w:firstLineChars="2400"/>
        <w:rPr>
          <w:rFonts w:ascii="宋体" w:hAnsi="宋体" w:eastAsia="宋体"/>
          <w:b/>
          <w:color w:val="auto"/>
          <w:sz w:val="24"/>
        </w:rPr>
      </w:pPr>
      <w:r>
        <w:rPr>
          <w:rFonts w:hint="eastAsia" w:ascii="宋体" w:hAnsi="宋体" w:eastAsia="宋体"/>
          <w:b/>
          <w:color w:val="auto"/>
          <w:sz w:val="24"/>
        </w:rPr>
        <w:t>社会发展与社会风险控制研究中心</w:t>
      </w:r>
    </w:p>
    <w:p>
      <w:pPr>
        <w:spacing w:line="520" w:lineRule="exact"/>
        <w:rPr>
          <w:rFonts w:ascii="宋体" w:hAnsi="宋体" w:eastAsia="宋体"/>
          <w:b/>
          <w:color w:val="auto"/>
          <w:sz w:val="24"/>
        </w:rPr>
      </w:pPr>
      <w:r>
        <w:rPr>
          <w:rFonts w:ascii="宋体" w:hAnsi="宋体" w:eastAsia="宋体"/>
          <w:b/>
          <w:color w:val="auto"/>
          <w:sz w:val="24"/>
        </w:rPr>
        <w:t xml:space="preserve">                                                 </w:t>
      </w:r>
      <w:r>
        <w:rPr>
          <w:rFonts w:hint="eastAsia" w:ascii="宋体" w:hAnsi="宋体" w:eastAsia="宋体"/>
          <w:b/>
          <w:color w:val="auto"/>
          <w:sz w:val="24"/>
        </w:rPr>
        <w:t xml:space="preserve">         </w:t>
      </w:r>
      <w:r>
        <w:rPr>
          <w:rFonts w:ascii="宋体" w:hAnsi="宋体" w:eastAsia="宋体"/>
          <w:b/>
          <w:color w:val="auto"/>
          <w:sz w:val="24"/>
        </w:rPr>
        <w:t>2014</w:t>
      </w:r>
      <w:r>
        <w:rPr>
          <w:rFonts w:hint="eastAsia" w:ascii="宋体" w:hAnsi="宋体" w:eastAsia="宋体"/>
          <w:b/>
          <w:color w:val="auto"/>
          <w:sz w:val="24"/>
        </w:rPr>
        <w:t>年</w:t>
      </w:r>
      <w:r>
        <w:rPr>
          <w:rFonts w:ascii="宋体" w:hAnsi="宋体" w:eastAsia="宋体"/>
          <w:b/>
          <w:color w:val="auto"/>
          <w:sz w:val="24"/>
        </w:rPr>
        <w:t>6</w:t>
      </w:r>
      <w:r>
        <w:rPr>
          <w:rFonts w:hint="eastAsia" w:ascii="宋体" w:hAnsi="宋体" w:eastAsia="宋体"/>
          <w:b/>
          <w:color w:val="auto"/>
          <w:sz w:val="24"/>
        </w:rPr>
        <w:t>月</w:t>
      </w:r>
    </w:p>
    <w:sectPr>
      <w:pgSz w:w="11906" w:h="16838"/>
      <w:pgMar w:top="1440" w:right="1133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24C1A"/>
    <w:rsid w:val="00022BB0"/>
    <w:rsid w:val="00095FA6"/>
    <w:rsid w:val="000A03B2"/>
    <w:rsid w:val="000B06C4"/>
    <w:rsid w:val="00115B92"/>
    <w:rsid w:val="001702CD"/>
    <w:rsid w:val="00177533"/>
    <w:rsid w:val="00220CA5"/>
    <w:rsid w:val="00233DA5"/>
    <w:rsid w:val="00236A91"/>
    <w:rsid w:val="002F7F3B"/>
    <w:rsid w:val="003957C5"/>
    <w:rsid w:val="003A24CA"/>
    <w:rsid w:val="003A663C"/>
    <w:rsid w:val="003B3A0E"/>
    <w:rsid w:val="00400FED"/>
    <w:rsid w:val="00403CB6"/>
    <w:rsid w:val="004B15E3"/>
    <w:rsid w:val="004E59D1"/>
    <w:rsid w:val="004F2D59"/>
    <w:rsid w:val="004F43D6"/>
    <w:rsid w:val="00606FCE"/>
    <w:rsid w:val="00614A21"/>
    <w:rsid w:val="00616EEE"/>
    <w:rsid w:val="006228E7"/>
    <w:rsid w:val="006272A3"/>
    <w:rsid w:val="00627EBD"/>
    <w:rsid w:val="00630D18"/>
    <w:rsid w:val="00695980"/>
    <w:rsid w:val="006A7F0F"/>
    <w:rsid w:val="006D7A43"/>
    <w:rsid w:val="00724C1A"/>
    <w:rsid w:val="0073141B"/>
    <w:rsid w:val="0075612D"/>
    <w:rsid w:val="00797013"/>
    <w:rsid w:val="007D31DA"/>
    <w:rsid w:val="007E3DB5"/>
    <w:rsid w:val="008120C5"/>
    <w:rsid w:val="0081410D"/>
    <w:rsid w:val="00837254"/>
    <w:rsid w:val="00851E7F"/>
    <w:rsid w:val="008A0945"/>
    <w:rsid w:val="008A334E"/>
    <w:rsid w:val="008C5E43"/>
    <w:rsid w:val="008F4A1A"/>
    <w:rsid w:val="0092420A"/>
    <w:rsid w:val="00925CC7"/>
    <w:rsid w:val="009276A9"/>
    <w:rsid w:val="00940B55"/>
    <w:rsid w:val="009D2FF6"/>
    <w:rsid w:val="00A30D8F"/>
    <w:rsid w:val="00A76EDA"/>
    <w:rsid w:val="00AB2C74"/>
    <w:rsid w:val="00B1502C"/>
    <w:rsid w:val="00B93108"/>
    <w:rsid w:val="00C30616"/>
    <w:rsid w:val="00C35A43"/>
    <w:rsid w:val="00D941DF"/>
    <w:rsid w:val="00DB1D54"/>
    <w:rsid w:val="00DC2266"/>
    <w:rsid w:val="00F1052C"/>
    <w:rsid w:val="00F271A6"/>
    <w:rsid w:val="00F3131F"/>
    <w:rsid w:val="00F8132A"/>
    <w:rsid w:val="00FC05E2"/>
    <w:rsid w:val="2642033F"/>
    <w:rsid w:val="487F47D1"/>
    <w:rsid w:val="4A94532E"/>
    <w:rsid w:val="6E3903D9"/>
    <w:rsid w:val="7B24652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175</Words>
  <Characters>1004</Characters>
  <Lines>8</Lines>
  <Paragraphs>2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2014-10-30T05:58:00Z</dcterms:created>
  <dc:creator>Windows 用户</dc:creator>
  <cp:lastModifiedBy>陈朝波</cp:lastModifiedBy>
  <dcterms:modified xsi:type="dcterms:W3CDTF">2015-04-22T03:32:25Z</dcterms:modified>
  <dc:title>四川省哲社重点研究基地社会发展与社会风险控制研究中心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